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3E" w:rsidRDefault="00F10906" w:rsidP="00A740A2">
      <w:pPr>
        <w:pStyle w:val="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924935" cy="32766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3E" w:rsidRDefault="00F10906" w:rsidP="00A740A2">
      <w:pPr>
        <w:pStyle w:val="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142875</wp:posOffset>
            </wp:positionV>
            <wp:extent cx="2105025" cy="1095375"/>
            <wp:effectExtent l="19050" t="0" r="9525" b="0"/>
            <wp:wrapTight wrapText="bothSides">
              <wp:wrapPolygon edited="0">
                <wp:start x="-195" y="0"/>
                <wp:lineTo x="-195" y="21412"/>
                <wp:lineTo x="21698" y="21412"/>
                <wp:lineTo x="21698" y="0"/>
                <wp:lineTo x="-195" y="0"/>
              </wp:wrapPolygon>
            </wp:wrapTight>
            <wp:docPr id="4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F3E" w:rsidRDefault="00672F3E" w:rsidP="00A740A2">
      <w:pPr>
        <w:pStyle w:val="3"/>
        <w:pBdr>
          <w:bottom w:val="single" w:sz="12" w:space="9" w:color="auto"/>
        </w:pBdr>
        <w:rPr>
          <w:i/>
          <w:sz w:val="24"/>
          <w:szCs w:val="24"/>
        </w:rPr>
      </w:pPr>
    </w:p>
    <w:p w:rsidR="00672F3E" w:rsidRDefault="00672F3E" w:rsidP="00A740A2">
      <w:pPr>
        <w:pStyle w:val="3"/>
        <w:pBdr>
          <w:bottom w:val="single" w:sz="12" w:space="9" w:color="auto"/>
        </w:pBdr>
        <w:rPr>
          <w:i/>
          <w:sz w:val="24"/>
          <w:szCs w:val="24"/>
        </w:rPr>
      </w:pPr>
    </w:p>
    <w:p w:rsidR="00672F3E" w:rsidRDefault="00672F3E" w:rsidP="00A740A2">
      <w:pPr>
        <w:pStyle w:val="3"/>
        <w:pBdr>
          <w:bottom w:val="single" w:sz="12" w:space="9" w:color="auto"/>
        </w:pBdr>
        <w:rPr>
          <w:i/>
          <w:sz w:val="24"/>
          <w:szCs w:val="24"/>
        </w:rPr>
      </w:pPr>
    </w:p>
    <w:p w:rsidR="00672F3E" w:rsidRDefault="008B18E3" w:rsidP="009D2A96">
      <w:pPr>
        <w:pStyle w:val="3"/>
        <w:pBdr>
          <w:bottom w:val="single" w:sz="12" w:space="9" w:color="auto"/>
        </w:pBdr>
        <w:tabs>
          <w:tab w:val="left" w:pos="774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9D5D17">
        <w:rPr>
          <w:i/>
          <w:sz w:val="24"/>
          <w:szCs w:val="24"/>
        </w:rPr>
        <w:t xml:space="preserve"> </w:t>
      </w:r>
      <w:r w:rsidR="007448F8">
        <w:rPr>
          <w:i/>
          <w:sz w:val="24"/>
          <w:szCs w:val="24"/>
        </w:rPr>
        <w:t>-</w:t>
      </w:r>
      <w:r w:rsidR="009D5D17">
        <w:rPr>
          <w:i/>
          <w:sz w:val="24"/>
          <w:szCs w:val="24"/>
        </w:rPr>
        <w:t xml:space="preserve"> </w:t>
      </w:r>
      <w:r w:rsidR="00D6597B">
        <w:rPr>
          <w:i/>
          <w:sz w:val="24"/>
          <w:szCs w:val="24"/>
        </w:rPr>
        <w:t>6</w:t>
      </w:r>
      <w:r w:rsidR="007448F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апреля</w:t>
      </w:r>
      <w:r w:rsidR="009D5D17">
        <w:rPr>
          <w:i/>
          <w:sz w:val="24"/>
          <w:szCs w:val="24"/>
        </w:rPr>
        <w:t xml:space="preserve"> 201</w:t>
      </w:r>
      <w:r>
        <w:rPr>
          <w:i/>
          <w:sz w:val="24"/>
          <w:szCs w:val="24"/>
        </w:rPr>
        <w:t>8</w:t>
      </w:r>
      <w:r w:rsidR="007448F8">
        <w:rPr>
          <w:i/>
          <w:sz w:val="24"/>
          <w:szCs w:val="24"/>
        </w:rPr>
        <w:t xml:space="preserve"> г.</w:t>
      </w:r>
      <w:r w:rsidR="00672F3E">
        <w:rPr>
          <w:i/>
          <w:sz w:val="24"/>
          <w:szCs w:val="24"/>
        </w:rPr>
        <w:tab/>
        <w:t>Пресс-релиз</w:t>
      </w:r>
    </w:p>
    <w:p w:rsidR="00672F3E" w:rsidRDefault="00672F3E" w:rsidP="005A1B36">
      <w:pPr>
        <w:spacing w:after="0"/>
        <w:rPr>
          <w:rFonts w:ascii="Arial" w:hAnsi="Arial" w:cs="Arial"/>
          <w:b/>
          <w:sz w:val="24"/>
          <w:szCs w:val="24"/>
        </w:rPr>
      </w:pPr>
    </w:p>
    <w:p w:rsidR="009D5D17" w:rsidRDefault="00C71935" w:rsidP="00183E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035F47">
        <w:rPr>
          <w:rFonts w:ascii="Arial" w:hAnsi="Arial" w:cs="Arial"/>
          <w:b/>
          <w:sz w:val="24"/>
          <w:szCs w:val="24"/>
        </w:rPr>
        <w:t>ыездно</w:t>
      </w:r>
      <w:r>
        <w:rPr>
          <w:rFonts w:ascii="Arial" w:hAnsi="Arial" w:cs="Arial"/>
          <w:b/>
          <w:sz w:val="24"/>
          <w:szCs w:val="24"/>
        </w:rPr>
        <w:t>й</w:t>
      </w:r>
      <w:r w:rsidR="00035F47">
        <w:rPr>
          <w:rFonts w:ascii="Arial" w:hAnsi="Arial" w:cs="Arial"/>
          <w:b/>
          <w:sz w:val="24"/>
          <w:szCs w:val="24"/>
        </w:rPr>
        <w:t xml:space="preserve"> обучающ</w:t>
      </w:r>
      <w:r>
        <w:rPr>
          <w:rFonts w:ascii="Arial" w:hAnsi="Arial" w:cs="Arial"/>
          <w:b/>
          <w:sz w:val="24"/>
          <w:szCs w:val="24"/>
        </w:rPr>
        <w:t>ий</w:t>
      </w:r>
      <w:r w:rsidR="00035F47">
        <w:rPr>
          <w:rFonts w:ascii="Arial" w:hAnsi="Arial" w:cs="Arial"/>
          <w:b/>
          <w:sz w:val="24"/>
          <w:szCs w:val="24"/>
        </w:rPr>
        <w:t xml:space="preserve"> семинар в </w:t>
      </w:r>
      <w:r w:rsidRPr="00C71935">
        <w:rPr>
          <w:rFonts w:ascii="Arial" w:hAnsi="Arial" w:cs="Arial"/>
          <w:b/>
          <w:sz w:val="24"/>
          <w:szCs w:val="24"/>
        </w:rPr>
        <w:t xml:space="preserve">Федеративной Республике Германия </w:t>
      </w:r>
    </w:p>
    <w:p w:rsidR="008B18E3" w:rsidRPr="008B18E3" w:rsidRDefault="009D5D17" w:rsidP="008B18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5D17">
        <w:rPr>
          <w:rFonts w:ascii="Arial" w:hAnsi="Arial" w:cs="Arial"/>
          <w:b/>
          <w:sz w:val="24"/>
          <w:szCs w:val="24"/>
        </w:rPr>
        <w:t>на предприятиях компани</w:t>
      </w:r>
      <w:r w:rsidR="008B18E3">
        <w:rPr>
          <w:rFonts w:ascii="Arial" w:hAnsi="Arial" w:cs="Arial"/>
          <w:b/>
          <w:sz w:val="24"/>
          <w:szCs w:val="24"/>
        </w:rPr>
        <w:t>й</w:t>
      </w:r>
      <w:r w:rsidRPr="009D5D17">
        <w:rPr>
          <w:rFonts w:ascii="Arial" w:hAnsi="Arial" w:cs="Arial"/>
          <w:b/>
          <w:sz w:val="24"/>
          <w:szCs w:val="24"/>
        </w:rPr>
        <w:t xml:space="preserve"> </w:t>
      </w:r>
      <w:r w:rsidR="008B18E3" w:rsidRPr="008B18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B18E3" w:rsidRPr="008B18E3">
        <w:rPr>
          <w:rFonts w:ascii="Arial" w:hAnsi="Arial" w:cs="Arial"/>
          <w:b/>
          <w:sz w:val="24"/>
          <w:szCs w:val="24"/>
        </w:rPr>
        <w:t>Siemens</w:t>
      </w:r>
      <w:proofErr w:type="spellEnd"/>
      <w:r w:rsidR="008B18E3" w:rsidRPr="008B18E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B18E3" w:rsidRPr="008B18E3">
        <w:rPr>
          <w:rFonts w:ascii="Arial" w:hAnsi="Arial" w:cs="Arial"/>
          <w:b/>
          <w:sz w:val="24"/>
          <w:szCs w:val="24"/>
        </w:rPr>
        <w:t>Knorr-Bremse</w:t>
      </w:r>
      <w:proofErr w:type="spellEnd"/>
      <w:r w:rsidR="008B18E3" w:rsidRPr="008B18E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B18E3" w:rsidRPr="008B18E3">
        <w:rPr>
          <w:rFonts w:ascii="Arial" w:hAnsi="Arial" w:cs="Arial"/>
          <w:b/>
          <w:sz w:val="24"/>
          <w:szCs w:val="24"/>
        </w:rPr>
        <w:t>Flaig+Hommel</w:t>
      </w:r>
      <w:proofErr w:type="spellEnd"/>
      <w:r w:rsidR="008B18E3" w:rsidRPr="008B18E3">
        <w:rPr>
          <w:rFonts w:ascii="Arial" w:hAnsi="Arial" w:cs="Arial"/>
          <w:b/>
          <w:sz w:val="24"/>
          <w:szCs w:val="24"/>
        </w:rPr>
        <w:t xml:space="preserve"> на тему: «Изучение опыта внедрения системы Бережливого производства, сертификации по стандарту IRIS (ISO/TS 22163) и локализации производства»</w:t>
      </w:r>
    </w:p>
    <w:p w:rsidR="008B18E3" w:rsidRPr="009D5D17" w:rsidRDefault="008B18E3" w:rsidP="008B18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F47" w:rsidRPr="005439F4" w:rsidRDefault="00035F47" w:rsidP="00627896">
      <w:pPr>
        <w:spacing w:after="0" w:line="360" w:lineRule="exact"/>
        <w:jc w:val="center"/>
        <w:rPr>
          <w:rFonts w:ascii="Arial" w:hAnsi="Arial" w:cs="Arial"/>
          <w:b/>
          <w:sz w:val="24"/>
          <w:szCs w:val="24"/>
        </w:rPr>
      </w:pPr>
    </w:p>
    <w:p w:rsidR="00885A7B" w:rsidRPr="008D3435" w:rsidRDefault="008A3A26" w:rsidP="008D3435">
      <w:pPr>
        <w:spacing w:after="0" w:line="360" w:lineRule="auto"/>
        <w:ind w:firstLine="85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>В составе делегации приняли участие руководители</w:t>
      </w:r>
      <w:r w:rsidR="005E654B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F04DD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>р</w:t>
      </w:r>
      <w:r w:rsidR="005E654B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>оссийских</w:t>
      </w:r>
      <w:r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предприятий</w:t>
      </w:r>
      <w:r w:rsidR="00885A7B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E654B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>железнодорожной промышленности</w:t>
      </w:r>
      <w:r w:rsidR="008B18E3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7448F8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E654B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ОАО </w:t>
      </w:r>
      <w:r w:rsidR="00B35BE2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r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>РЖД</w:t>
      </w:r>
      <w:r w:rsidR="00B35BE2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="00F5569F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B35BE2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9198C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руководители предприятии - членов </w:t>
      </w:r>
      <w:r w:rsidR="00F5569F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>НП «ОПЖТ»</w:t>
      </w:r>
      <w:r w:rsidR="00122EB4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122EB4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>и ООО</w:t>
      </w:r>
      <w:proofErr w:type="gramEnd"/>
      <w:r w:rsidR="00122EB4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«ИЦПВК»</w:t>
      </w:r>
      <w:r w:rsidR="00F5569F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6F04DD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E654B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>Российскую делегацию</w:t>
      </w:r>
      <w:r w:rsidR="00AA1837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</w:t>
      </w:r>
      <w:r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озглавил </w:t>
      </w:r>
      <w:r w:rsidR="008B18E3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президент НП «ОПЖТ» В.А. Гапанович</w:t>
      </w:r>
      <w:r w:rsidR="009D7B1C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A07832" w:rsidRDefault="002E2E3C" w:rsidP="00A07832">
      <w:pPr>
        <w:spacing w:after="0" w:line="360" w:lineRule="auto"/>
        <w:ind w:firstLine="85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4850765</wp:posOffset>
            </wp:positionV>
            <wp:extent cx="3314700" cy="2495550"/>
            <wp:effectExtent l="19050" t="0" r="0" b="0"/>
            <wp:wrapSquare wrapText="bothSides"/>
            <wp:docPr id="12" name="Рисунок 2" descr="C:\Users\РукавишниковАА\Desktop\IMG_2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кавишниковАА\Desktop\IMG_27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832" w:rsidRPr="008D34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 ходе семинара </w:t>
      </w:r>
      <w:r w:rsidR="00A078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состоялся круглый стол </w:t>
      </w:r>
      <w:r w:rsidR="00A07832" w:rsidRPr="008B18E3">
        <w:rPr>
          <w:rFonts w:ascii="Arial" w:hAnsi="Arial" w:cs="Arial"/>
          <w:color w:val="222222"/>
          <w:sz w:val="24"/>
          <w:szCs w:val="24"/>
          <w:shd w:val="clear" w:color="auto" w:fill="FFFFFF"/>
        </w:rPr>
        <w:t>Круглый стол «Использование новых технологий при организации производства»</w:t>
      </w:r>
      <w:r w:rsidR="00A078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при участии генерального менеджера </w:t>
      </w:r>
      <w:r w:rsidR="00A07832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IRIS</w:t>
      </w:r>
      <w:r w:rsidR="00A07832" w:rsidRPr="008B18E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078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Б.Кауфмана. Были обсуждены текущие изменения </w:t>
      </w:r>
      <w:r w:rsidR="00A07832" w:rsidRP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>в законодательстве ЕС при вводе  4-ого железнодорожного пакета</w:t>
      </w:r>
      <w:r w:rsidR="00A078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р</w:t>
      </w:r>
      <w:r w:rsidR="00A07832" w:rsidRP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>азвитие системы добровольной сертификации в соответствии с требованиями ISO/TS 22163</w:t>
      </w:r>
      <w:r w:rsidR="00A078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Подписано соглашение по вопросу подготовки структурных подразделений ОАО «РЖД» к сертификации по стандарту </w:t>
      </w:r>
      <w:r w:rsidR="00A07832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ISO</w:t>
      </w:r>
      <w:r w:rsidR="00A07832" w:rsidRPr="00A07832">
        <w:rPr>
          <w:rFonts w:ascii="Arial" w:hAnsi="Arial" w:cs="Arial"/>
          <w:color w:val="222222"/>
          <w:sz w:val="24"/>
          <w:szCs w:val="24"/>
          <w:shd w:val="clear" w:color="auto" w:fill="FFFFFF"/>
        </w:rPr>
        <w:t>\</w:t>
      </w:r>
      <w:r w:rsidR="00A07832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TS</w:t>
      </w:r>
      <w:r w:rsidR="00A07832" w:rsidRPr="00A078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2263. </w:t>
      </w:r>
      <w:r w:rsidR="00A07832">
        <w:rPr>
          <w:rFonts w:ascii="Arial" w:hAnsi="Arial" w:cs="Arial"/>
          <w:color w:val="222222"/>
          <w:sz w:val="24"/>
          <w:szCs w:val="24"/>
          <w:shd w:val="clear" w:color="auto" w:fill="FFFFFF"/>
        </w:rPr>
        <w:t>Координацию данных работ будет осуществлять НП «ОПЖТ»</w:t>
      </w:r>
      <w:r w:rsidR="00A07832"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2B7C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Также проведены переговоры по созданию </w:t>
      </w:r>
      <w:r w:rsidR="002B7CB6" w:rsidRPr="002B7CB6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Совета IRQB</w:t>
      </w:r>
      <w:r w:rsidR="002B7C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(Международного железнодорожного совета по качеству)</w:t>
      </w:r>
      <w:r w:rsidR="00D6597B">
        <w:rPr>
          <w:rFonts w:ascii="Arial" w:hAnsi="Arial" w:cs="Arial"/>
          <w:color w:val="222222"/>
          <w:sz w:val="24"/>
          <w:szCs w:val="24"/>
          <w:shd w:val="clear" w:color="auto" w:fill="FFFFFF"/>
        </w:rPr>
        <w:t>, обеспечивающего развитие и совершенствование стандарта, координацию деятельности</w:t>
      </w:r>
      <w:r w:rsidR="00A020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органов по </w:t>
      </w:r>
      <w:r w:rsidR="009E7D7C">
        <w:rPr>
          <w:rFonts w:ascii="Arial" w:hAnsi="Arial" w:cs="Arial"/>
          <w:color w:val="222222"/>
          <w:sz w:val="24"/>
          <w:szCs w:val="24"/>
          <w:shd w:val="clear" w:color="auto" w:fill="FFFFFF"/>
        </w:rPr>
        <w:t>сертификации</w:t>
      </w:r>
      <w:r w:rsidR="00D6597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A020A0" w:rsidRPr="00A020A0" w:rsidRDefault="00A020A0" w:rsidP="00A07832">
      <w:pPr>
        <w:spacing w:after="0" w:line="360" w:lineRule="auto"/>
        <w:ind w:firstLine="85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В целом доклады о работе служб качества были представлены всеми компаниями, участвующими в семинаре. Подробно обсуждены вопросы внедрения проектного менеджмента, формирования и мониторинг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KPI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система оценки функционирования в области качества удаленных производств холдинговых компаний и бережливое производство. </w:t>
      </w:r>
    </w:p>
    <w:p w:rsidR="00BB611A" w:rsidRPr="00BB611A" w:rsidRDefault="00A07832" w:rsidP="00BB611A">
      <w:pPr>
        <w:spacing w:after="0" w:line="360" w:lineRule="auto"/>
        <w:ind w:firstLine="85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Делегация</w:t>
      </w:r>
      <w:r w:rsidR="008B18E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посе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тила</w:t>
      </w:r>
      <w:r w:rsidR="008B18E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завод компании </w:t>
      </w:r>
      <w:r w:rsidR="008B18E3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Siemens</w:t>
      </w:r>
      <w:r w:rsidR="008B18E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на котором осуществляется производство локомотивов </w:t>
      </w:r>
      <w:r w:rsidR="00DD6C97" w:rsidRPr="00BB611A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proofErr w:type="spellStart"/>
      <w:r w:rsidR="00DD6C97" w:rsidRPr="00BB611A">
        <w:rPr>
          <w:rFonts w:ascii="Arial" w:hAnsi="Arial" w:cs="Arial"/>
          <w:color w:val="222222"/>
          <w:sz w:val="24"/>
          <w:szCs w:val="24"/>
          <w:shd w:val="clear" w:color="auto" w:fill="FFFFFF"/>
        </w:rPr>
        <w:t>Вектрон</w:t>
      </w:r>
      <w:proofErr w:type="spellEnd"/>
      <w:r w:rsidR="00DD6C97" w:rsidRPr="00BB611A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="008B18E3" w:rsidRPr="008B18E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BB61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Данная серия </w:t>
      </w:r>
      <w:r w:rsidR="008B18E3" w:rsidRPr="008B18E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B61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локомотивов построена на модульной платформе. </w:t>
      </w:r>
      <w:r w:rsidR="00BB611A" w:rsidRPr="00BB611A">
        <w:rPr>
          <w:rFonts w:ascii="Arial" w:hAnsi="Arial" w:cs="Arial"/>
          <w:color w:val="222222"/>
          <w:sz w:val="24"/>
          <w:szCs w:val="24"/>
          <w:shd w:val="clear" w:color="auto" w:fill="FFFFFF"/>
        </w:rPr>
        <w:t>Большим преимуществом локомотивов, созданных на платформе «</w:t>
      </w:r>
      <w:proofErr w:type="spellStart"/>
      <w:r w:rsidR="00BB611A" w:rsidRPr="00BB611A">
        <w:rPr>
          <w:rFonts w:ascii="Arial" w:hAnsi="Arial" w:cs="Arial"/>
          <w:color w:val="222222"/>
          <w:sz w:val="24"/>
          <w:szCs w:val="24"/>
          <w:shd w:val="clear" w:color="auto" w:fill="FFFFFF"/>
        </w:rPr>
        <w:t>Вектрон</w:t>
      </w:r>
      <w:proofErr w:type="spellEnd"/>
      <w:r w:rsidR="00BB611A" w:rsidRPr="00BB611A">
        <w:rPr>
          <w:rFonts w:ascii="Arial" w:hAnsi="Arial" w:cs="Arial"/>
          <w:color w:val="222222"/>
          <w:sz w:val="24"/>
          <w:szCs w:val="24"/>
          <w:shd w:val="clear" w:color="auto" w:fill="FFFFFF"/>
        </w:rPr>
        <w:t>» является их универсальность. Они состоят из одинаковых базовых компонентов. В зависимости от маршрутов и стран, где будут эксплуатироваться локомотивы, может меняться их индивидуальная комплектация: различные токоприёмники, системы безопасности и т.д. При необходимости может быть проведено переоснащение необходимого оборудования.</w:t>
      </w:r>
    </w:p>
    <w:p w:rsidR="00BB611A" w:rsidRPr="00BB611A" w:rsidRDefault="002B49A2" w:rsidP="00BB611A">
      <w:pPr>
        <w:spacing w:after="0" w:line="360" w:lineRule="auto"/>
        <w:ind w:firstLine="85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5919470</wp:posOffset>
            </wp:positionV>
            <wp:extent cx="3785870" cy="3178810"/>
            <wp:effectExtent l="19050" t="0" r="5080" b="0"/>
            <wp:wrapSquare wrapText="bothSides"/>
            <wp:docPr id="11" name="Рисунок 1" descr="C:\Users\РукавишниковАА\Desktop\IMG_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кавишниковАА\Desktop\IMG_28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747" b="3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31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11A" w:rsidRPr="00BB611A">
        <w:rPr>
          <w:rFonts w:ascii="Arial" w:hAnsi="Arial" w:cs="Arial"/>
          <w:color w:val="222222"/>
          <w:sz w:val="24"/>
          <w:szCs w:val="24"/>
          <w:shd w:val="clear" w:color="auto" w:fill="FFFFFF"/>
        </w:rPr>
        <w:t>Вместе с тем, локомотивы платформы «</w:t>
      </w:r>
      <w:proofErr w:type="spellStart"/>
      <w:r w:rsidR="00BB611A" w:rsidRPr="00BB611A">
        <w:rPr>
          <w:rFonts w:ascii="Arial" w:hAnsi="Arial" w:cs="Arial"/>
          <w:color w:val="222222"/>
          <w:sz w:val="24"/>
          <w:szCs w:val="24"/>
          <w:shd w:val="clear" w:color="auto" w:fill="FFFFFF"/>
        </w:rPr>
        <w:t>Вектрон</w:t>
      </w:r>
      <w:proofErr w:type="spellEnd"/>
      <w:r w:rsidR="00BB611A" w:rsidRPr="00BB611A">
        <w:rPr>
          <w:rFonts w:ascii="Arial" w:hAnsi="Arial" w:cs="Arial"/>
          <w:color w:val="222222"/>
          <w:sz w:val="24"/>
          <w:szCs w:val="24"/>
          <w:shd w:val="clear" w:color="auto" w:fill="FFFFFF"/>
        </w:rPr>
        <w:t>» находятся на принципиально новом уровне и в отношении охраны окружающей среды. Так, например, уменьшение расхода энергоресурсов достигается на электровозах за счет рекуперации энергии в сеть, а на тепловозах платформы «</w:t>
      </w:r>
      <w:proofErr w:type="spellStart"/>
      <w:r w:rsidR="00BB611A" w:rsidRPr="00BB611A">
        <w:rPr>
          <w:rFonts w:ascii="Arial" w:hAnsi="Arial" w:cs="Arial"/>
          <w:color w:val="222222"/>
          <w:sz w:val="24"/>
          <w:szCs w:val="24"/>
          <w:shd w:val="clear" w:color="auto" w:fill="FFFFFF"/>
        </w:rPr>
        <w:t>Вектрон</w:t>
      </w:r>
      <w:proofErr w:type="spellEnd"/>
      <w:r w:rsidR="00BB611A" w:rsidRPr="00BB611A">
        <w:rPr>
          <w:rFonts w:ascii="Arial" w:hAnsi="Arial" w:cs="Arial"/>
          <w:color w:val="222222"/>
          <w:sz w:val="24"/>
          <w:szCs w:val="24"/>
          <w:shd w:val="clear" w:color="auto" w:fill="FFFFFF"/>
        </w:rPr>
        <w:t>» за счет применения современнейших дизельных моторов. Выбросы двуокиси углерода на тепловозах «</w:t>
      </w:r>
      <w:proofErr w:type="spellStart"/>
      <w:r w:rsidR="00BB611A" w:rsidRPr="00BB611A">
        <w:rPr>
          <w:rFonts w:ascii="Arial" w:hAnsi="Arial" w:cs="Arial"/>
          <w:color w:val="222222"/>
          <w:sz w:val="24"/>
          <w:szCs w:val="24"/>
          <w:shd w:val="clear" w:color="auto" w:fill="FFFFFF"/>
        </w:rPr>
        <w:t>Вектрон</w:t>
      </w:r>
      <w:proofErr w:type="spellEnd"/>
      <w:r w:rsidR="00BB611A" w:rsidRPr="00BB611A">
        <w:rPr>
          <w:rFonts w:ascii="Arial" w:hAnsi="Arial" w:cs="Arial"/>
          <w:color w:val="222222"/>
          <w:sz w:val="24"/>
          <w:szCs w:val="24"/>
          <w:shd w:val="clear" w:color="auto" w:fill="FFFFFF"/>
        </w:rPr>
        <w:t>», значительно ниже, чем на существующих тепловозах.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Технологический процесс производства предприятия максимально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использует при производстве продукции роботизированы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линии.</w:t>
      </w:r>
    </w:p>
    <w:p w:rsidR="00DD6C97" w:rsidRDefault="00BB611A" w:rsidP="007C562E">
      <w:pPr>
        <w:spacing w:after="0" w:line="360" w:lineRule="auto"/>
        <w:ind w:firstLine="85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Также состоялось посещение </w:t>
      </w:r>
      <w:r w:rsidR="00073CF8" w:rsidRP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>нов</w:t>
      </w:r>
      <w:r w:rsid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>ого</w:t>
      </w:r>
      <w:r w:rsidR="00073CF8" w:rsidRP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073CF8" w:rsidRP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>инженерно-испытательный</w:t>
      </w:r>
      <w:proofErr w:type="gramEnd"/>
      <w:r w:rsidR="00073CF8" w:rsidRP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центр</w:t>
      </w:r>
      <w:r w:rsid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а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компании </w:t>
      </w:r>
      <w:proofErr w:type="spellStart"/>
      <w:r w:rsidRP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>Knorr</w:t>
      </w:r>
      <w:r w:rsidRPr="00BB611A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>Brems</w:t>
      </w:r>
      <w:proofErr w:type="spellEnd"/>
      <w:r w:rsidR="00073CF8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</w:t>
      </w:r>
      <w:r w:rsidR="00073CF8" w:rsidRP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 </w:t>
      </w:r>
      <w:r w:rsid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>Инвестиции компании в испытательный центр составили более 100</w:t>
      </w:r>
      <w:r w:rsidR="00073CF8" w:rsidRP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>млн. евро</w:t>
      </w:r>
      <w:r w:rsidR="00073CF8" w:rsidRP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EE45AC" w:rsidRP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Оборудование позволяет проводить </w:t>
      </w:r>
      <w:r w:rsidR="00EE45AC" w:rsidRP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исследования контакта «колесо – рельс», динамические </w:t>
      </w:r>
      <w:r w:rsid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>испытания</w:t>
      </w:r>
      <w:r w:rsidR="00EE45AC" w:rsidRP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которые позволяют </w:t>
      </w:r>
      <w:r w:rsidR="00EE45AC" w:rsidRP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моделировать работу тормозной системы при скоростях до 500 км/ч</w:t>
      </w:r>
      <w:r w:rsid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>., а также с</w:t>
      </w:r>
      <w:r w:rsidR="00EE45AC" w:rsidRP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>тенды для комплексных испытаний систем для коммерческого транспорта (генератор импульсов 3D, динамометр</w:t>
      </w:r>
      <w:proofErr w:type="gramStart"/>
      <w:r w:rsidR="00EE45AC" w:rsidRP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>, ...)</w:t>
      </w:r>
      <w:r w:rsid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EE45AC" w:rsidRP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End"/>
      <w:r w:rsid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>с</w:t>
      </w:r>
      <w:r w:rsidR="00EE45AC" w:rsidRP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>тенд для испытания железнодорожных осей</w:t>
      </w:r>
      <w:r w:rsid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EE45AC" w:rsidRP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>и</w:t>
      </w:r>
      <w:r w:rsidR="00EE45AC" w:rsidRP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>спытательные установки для локомотивов</w:t>
      </w:r>
      <w:r w:rsid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>, у</w:t>
      </w:r>
      <w:r w:rsidR="00EE45AC" w:rsidRP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правление тормозами поездов полной </w:t>
      </w:r>
      <w:proofErr w:type="spellStart"/>
      <w:r w:rsidR="00EE45AC" w:rsidRP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составности</w:t>
      </w:r>
      <w:proofErr w:type="spellEnd"/>
      <w:r w:rsid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>. В рамках визита</w:t>
      </w:r>
      <w:r w:rsidR="007C56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проработано соглашение по </w:t>
      </w:r>
      <w:r w:rsid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вопрос</w:t>
      </w:r>
      <w:r w:rsidR="007C56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у использования испытательного оборудования </w:t>
      </w:r>
      <w:proofErr w:type="spellStart"/>
      <w:r w:rsidR="007C562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Knorr</w:t>
      </w:r>
      <w:proofErr w:type="spellEnd"/>
      <w:r w:rsidR="007C562E" w:rsidRPr="007C562E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proofErr w:type="spellStart"/>
      <w:r w:rsidR="007C562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Bremse</w:t>
      </w:r>
      <w:proofErr w:type="spellEnd"/>
      <w:r w:rsidR="007C562E" w:rsidRPr="007C56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C562E">
        <w:rPr>
          <w:rFonts w:ascii="Arial" w:hAnsi="Arial" w:cs="Arial"/>
          <w:color w:val="222222"/>
          <w:sz w:val="24"/>
          <w:szCs w:val="24"/>
          <w:shd w:val="clear" w:color="auto" w:fill="FFFFFF"/>
        </w:rPr>
        <w:t>для нужд российских предприятий и</w:t>
      </w:r>
      <w:r w:rsid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признани</w:t>
      </w:r>
      <w:r w:rsidR="002B49A2">
        <w:rPr>
          <w:rFonts w:ascii="Arial" w:hAnsi="Arial" w:cs="Arial"/>
          <w:color w:val="222222"/>
          <w:sz w:val="24"/>
          <w:szCs w:val="24"/>
          <w:shd w:val="clear" w:color="auto" w:fill="FFFFFF"/>
        </w:rPr>
        <w:t>я</w:t>
      </w:r>
      <w:r w:rsid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078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 России </w:t>
      </w:r>
      <w:r w:rsid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результатов стендовых испытаний, проводимых в </w:t>
      </w:r>
      <w:r w:rsidR="00EE45AC" w:rsidRP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>инженерно-испытательн</w:t>
      </w:r>
      <w:r w:rsid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>ом</w:t>
      </w:r>
      <w:r w:rsidR="00EE45AC" w:rsidRPr="00073C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центр</w:t>
      </w:r>
      <w:r w:rsidR="00EE45AC">
        <w:rPr>
          <w:rFonts w:ascii="Arial" w:hAnsi="Arial" w:cs="Arial"/>
          <w:color w:val="222222"/>
          <w:sz w:val="24"/>
          <w:szCs w:val="24"/>
          <w:shd w:val="clear" w:color="auto" w:fill="FFFFFF"/>
        </w:rPr>
        <w:t>е для скоростного и высокоскоростного подвижного состава.</w:t>
      </w:r>
      <w:r w:rsidR="007C56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DD6C97" w:rsidRPr="00DD6C97" w:rsidRDefault="00DD6C97" w:rsidP="00DD6C97">
      <w:pPr>
        <w:spacing w:after="0" w:line="360" w:lineRule="auto"/>
        <w:ind w:firstLine="85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Осмотрены производственные мощности компании</w:t>
      </w:r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Flaig+Hommel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Компания </w:t>
      </w:r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>известна с 1946 года как производитель крепежа и соединительных элементов и является поставщиком для производителей железнодорожной техники, таких как «</w:t>
      </w:r>
      <w:proofErr w:type="spellStart"/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>Бомбардье</w:t>
      </w:r>
      <w:proofErr w:type="spellEnd"/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>», «</w:t>
      </w:r>
      <w:proofErr w:type="spellStart"/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>Альстом</w:t>
      </w:r>
      <w:proofErr w:type="spellEnd"/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>», «Сименс», «</w:t>
      </w:r>
      <w:proofErr w:type="spellStart"/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>Фойт</w:t>
      </w:r>
      <w:proofErr w:type="spellEnd"/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>», «</w:t>
      </w:r>
      <w:proofErr w:type="spellStart"/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>Кнорр-Бремзе</w:t>
      </w:r>
      <w:proofErr w:type="spellEnd"/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>», также является поставщиком категории  Q1 DB AG (Немецкие железные дороги).</w:t>
      </w:r>
    </w:p>
    <w:p w:rsidR="00DD6C97" w:rsidRDefault="00DD6C97" w:rsidP="00DD6C97">
      <w:pPr>
        <w:spacing w:after="0" w:line="360" w:lineRule="auto"/>
        <w:ind w:firstLine="85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>В 2009 году было организовано предприятие ООО «</w:t>
      </w:r>
      <w:proofErr w:type="spellStart"/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>Флайг+Хоммель</w:t>
      </w:r>
      <w:proofErr w:type="spellEnd"/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» на территории России в Нижегородской области в </w:t>
      </w:r>
      <w:proofErr w:type="gramStart"/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>г</w:t>
      </w:r>
      <w:proofErr w:type="gramEnd"/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>. Заволжье.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 производственной площадке налажен полный технологический процесс по выпуску цельнометаллической </w:t>
      </w:r>
      <w:proofErr w:type="spellStart"/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>самостопорящейся</w:t>
      </w:r>
      <w:proofErr w:type="spellEnd"/>
      <w:r w:rsidRPr="00DD6C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гайки FS.</w:t>
      </w:r>
    </w:p>
    <w:p w:rsidR="006D09CB" w:rsidRPr="006D09CB" w:rsidRDefault="006D09CB" w:rsidP="00DD6C97">
      <w:pPr>
        <w:spacing w:after="0" w:line="360" w:lineRule="auto"/>
        <w:ind w:firstLine="85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 итогам семинара подписано соглашение с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UNIFE</w:t>
      </w:r>
      <w:r w:rsidRPr="006D09C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по</w:t>
      </w:r>
      <w:r w:rsidRPr="006D09C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вопросу подготовки структурных подразделений ОАО «РЖД» к сертификации по стандарту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ISO</w:t>
      </w:r>
      <w:r w:rsidRPr="00A07832">
        <w:rPr>
          <w:rFonts w:ascii="Arial" w:hAnsi="Arial" w:cs="Arial"/>
          <w:color w:val="222222"/>
          <w:sz w:val="24"/>
          <w:szCs w:val="24"/>
          <w:shd w:val="clear" w:color="auto" w:fill="FFFFFF"/>
        </w:rPr>
        <w:t>\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TS</w:t>
      </w:r>
      <w:r w:rsidRPr="00A078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2263</w:t>
      </w:r>
      <w:r w:rsidRPr="006D09C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 соглашение с компанией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Knorr</w:t>
      </w:r>
      <w:proofErr w:type="spellEnd"/>
      <w:r w:rsidRPr="006D09CB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Bremse</w:t>
      </w:r>
      <w:proofErr w:type="spellEnd"/>
      <w:r w:rsidRPr="006D09C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по вопросу использования испытательного оборудования</w:t>
      </w:r>
      <w:r w:rsidRPr="006D09C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7448F8" w:rsidRDefault="000B3083" w:rsidP="00586456">
      <w:pPr>
        <w:spacing w:after="0" w:line="360" w:lineRule="auto"/>
        <w:ind w:firstLine="85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D6D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Проведение таких </w:t>
      </w:r>
      <w:r w:rsidR="00F83113" w:rsidRPr="001D6D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обучающих </w:t>
      </w:r>
      <w:r w:rsidRPr="001D6D2D">
        <w:rPr>
          <w:rFonts w:ascii="Arial" w:hAnsi="Arial" w:cs="Arial"/>
          <w:color w:val="222222"/>
          <w:sz w:val="24"/>
          <w:szCs w:val="24"/>
          <w:shd w:val="clear" w:color="auto" w:fill="FFFFFF"/>
        </w:rPr>
        <w:t>международных семинаров под эгидой</w:t>
      </w:r>
      <w:r w:rsidR="001D6D2D" w:rsidRPr="001D6D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</w:t>
      </w:r>
      <w:r w:rsidRPr="001D6D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НП </w:t>
      </w:r>
      <w:r w:rsidR="004A417C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r w:rsidRPr="001D6D2D">
        <w:rPr>
          <w:rFonts w:ascii="Arial" w:hAnsi="Arial" w:cs="Arial"/>
          <w:color w:val="222222"/>
          <w:sz w:val="24"/>
          <w:szCs w:val="24"/>
          <w:shd w:val="clear" w:color="auto" w:fill="FFFFFF"/>
        </w:rPr>
        <w:t>ОПЖТ</w:t>
      </w:r>
      <w:r w:rsidR="004A417C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Pr="001D6D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совместно с зарубежными партнерами позволяет налаживать новые деловые контакты с представителями различных </w:t>
      </w:r>
      <w:proofErr w:type="gramStart"/>
      <w:r w:rsidRPr="001D6D2D">
        <w:rPr>
          <w:rFonts w:ascii="Arial" w:hAnsi="Arial" w:cs="Arial"/>
          <w:color w:val="222222"/>
          <w:sz w:val="24"/>
          <w:szCs w:val="24"/>
          <w:shd w:val="clear" w:color="auto" w:fill="FFFFFF"/>
        </w:rPr>
        <w:t>бизнес-сообществ</w:t>
      </w:r>
      <w:proofErr w:type="gramEnd"/>
      <w:r w:rsidRPr="001D6D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знакомиться с новейшими разработками в железнодорожном секторе.</w:t>
      </w:r>
    </w:p>
    <w:p w:rsidR="00971972" w:rsidRDefault="00971972" w:rsidP="001D6D2D">
      <w:pPr>
        <w:pStyle w:val="a4"/>
        <w:tabs>
          <w:tab w:val="clear" w:pos="4677"/>
          <w:tab w:val="clear" w:pos="9355"/>
        </w:tabs>
        <w:spacing w:line="276" w:lineRule="auto"/>
        <w:jc w:val="right"/>
        <w:outlineLvl w:val="0"/>
        <w:rPr>
          <w:rFonts w:ascii="Arial" w:hAnsi="Arial" w:cs="Arial"/>
        </w:rPr>
      </w:pPr>
    </w:p>
    <w:p w:rsidR="00C64405" w:rsidRPr="001D6D2D" w:rsidRDefault="00C64405" w:rsidP="001D6D2D">
      <w:pPr>
        <w:pStyle w:val="a4"/>
        <w:tabs>
          <w:tab w:val="clear" w:pos="4677"/>
          <w:tab w:val="clear" w:pos="9355"/>
        </w:tabs>
        <w:spacing w:line="276" w:lineRule="auto"/>
        <w:jc w:val="right"/>
        <w:outlineLvl w:val="0"/>
        <w:rPr>
          <w:rFonts w:ascii="Arial" w:hAnsi="Arial" w:cs="Arial"/>
        </w:rPr>
      </w:pPr>
    </w:p>
    <w:p w:rsidR="00672F3E" w:rsidRPr="001D6D2D" w:rsidRDefault="00672F3E" w:rsidP="001D6D2D">
      <w:pPr>
        <w:pStyle w:val="a4"/>
        <w:tabs>
          <w:tab w:val="clear" w:pos="4677"/>
          <w:tab w:val="clear" w:pos="9355"/>
        </w:tabs>
        <w:spacing w:line="276" w:lineRule="auto"/>
        <w:jc w:val="right"/>
        <w:outlineLvl w:val="0"/>
        <w:rPr>
          <w:rFonts w:ascii="Arial" w:hAnsi="Arial" w:cs="Arial"/>
        </w:rPr>
      </w:pPr>
      <w:r w:rsidRPr="001D6D2D">
        <w:rPr>
          <w:rFonts w:ascii="Arial" w:hAnsi="Arial" w:cs="Arial"/>
        </w:rPr>
        <w:t>Некоммерческо</w:t>
      </w:r>
      <w:r w:rsidR="0039198C">
        <w:rPr>
          <w:rFonts w:ascii="Arial" w:hAnsi="Arial" w:cs="Arial"/>
        </w:rPr>
        <w:t>е партнерство</w:t>
      </w:r>
    </w:p>
    <w:p w:rsidR="00672F3E" w:rsidRPr="001D6D2D" w:rsidRDefault="0039198C" w:rsidP="001D6D2D">
      <w:pPr>
        <w:pStyle w:val="a4"/>
        <w:tabs>
          <w:tab w:val="clear" w:pos="4677"/>
          <w:tab w:val="clear" w:pos="9355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«Объединение производителей</w:t>
      </w:r>
    </w:p>
    <w:p w:rsidR="00672F3E" w:rsidRPr="001D6D2D" w:rsidRDefault="00672F3E" w:rsidP="001D6D2D">
      <w:pPr>
        <w:pStyle w:val="a4"/>
        <w:tabs>
          <w:tab w:val="clear" w:pos="4677"/>
          <w:tab w:val="clear" w:pos="9355"/>
        </w:tabs>
        <w:spacing w:line="276" w:lineRule="auto"/>
        <w:jc w:val="right"/>
        <w:rPr>
          <w:rFonts w:ascii="Arial" w:hAnsi="Arial" w:cs="Arial"/>
        </w:rPr>
      </w:pPr>
      <w:r w:rsidRPr="001D6D2D">
        <w:rPr>
          <w:rFonts w:ascii="Arial" w:hAnsi="Arial" w:cs="Arial"/>
        </w:rPr>
        <w:t>железнодорожной техники»</w:t>
      </w:r>
    </w:p>
    <w:p w:rsidR="00672F3E" w:rsidRPr="001D6D2D" w:rsidRDefault="00672F3E" w:rsidP="001D6D2D">
      <w:pPr>
        <w:pStyle w:val="a4"/>
        <w:tabs>
          <w:tab w:val="clear" w:pos="4677"/>
          <w:tab w:val="clear" w:pos="9355"/>
        </w:tabs>
        <w:spacing w:line="276" w:lineRule="auto"/>
        <w:jc w:val="right"/>
        <w:rPr>
          <w:rFonts w:ascii="Arial" w:hAnsi="Arial" w:cs="Arial"/>
        </w:rPr>
      </w:pPr>
      <w:r w:rsidRPr="001D6D2D">
        <w:rPr>
          <w:rFonts w:ascii="Arial" w:hAnsi="Arial" w:cs="Arial"/>
        </w:rPr>
        <w:t>Пресс-служба</w:t>
      </w:r>
    </w:p>
    <w:p w:rsidR="00672F3E" w:rsidRPr="001D6D2D" w:rsidRDefault="00672F3E" w:rsidP="001D6D2D">
      <w:pPr>
        <w:pStyle w:val="a4"/>
        <w:tabs>
          <w:tab w:val="clear" w:pos="4677"/>
          <w:tab w:val="clear" w:pos="9355"/>
        </w:tabs>
        <w:spacing w:line="276" w:lineRule="auto"/>
        <w:jc w:val="right"/>
        <w:rPr>
          <w:rFonts w:ascii="Arial" w:hAnsi="Arial" w:cs="Arial"/>
        </w:rPr>
      </w:pPr>
      <w:r w:rsidRPr="001D6D2D">
        <w:rPr>
          <w:rFonts w:ascii="Arial" w:hAnsi="Arial" w:cs="Arial"/>
        </w:rPr>
        <w:t>Тел./факс (499) 262-5692,</w:t>
      </w:r>
    </w:p>
    <w:p w:rsidR="00672F3E" w:rsidRPr="001D6D2D" w:rsidRDefault="00672F3E" w:rsidP="001D6D2D">
      <w:pPr>
        <w:pStyle w:val="a4"/>
        <w:tabs>
          <w:tab w:val="clear" w:pos="4677"/>
          <w:tab w:val="clear" w:pos="9355"/>
        </w:tabs>
        <w:spacing w:line="276" w:lineRule="auto"/>
        <w:jc w:val="right"/>
        <w:rPr>
          <w:rFonts w:ascii="Arial" w:hAnsi="Arial" w:cs="Arial"/>
        </w:rPr>
      </w:pPr>
      <w:r w:rsidRPr="001D6D2D">
        <w:rPr>
          <w:rFonts w:ascii="Arial" w:hAnsi="Arial" w:cs="Arial"/>
        </w:rPr>
        <w:t>262-2773, 262-9540</w:t>
      </w:r>
    </w:p>
    <w:p w:rsidR="00672F3E" w:rsidRPr="001D6D2D" w:rsidRDefault="004A5BF9" w:rsidP="001D6D2D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11" w:history="1">
        <w:r w:rsidR="008B18E3" w:rsidRPr="003E0369">
          <w:rPr>
            <w:rStyle w:val="a3"/>
            <w:rFonts w:ascii="Arial" w:hAnsi="Arial" w:cs="Arial"/>
            <w:sz w:val="24"/>
            <w:szCs w:val="24"/>
            <w:lang w:val="en-US"/>
          </w:rPr>
          <w:t>press</w:t>
        </w:r>
        <w:r w:rsidR="008B18E3" w:rsidRPr="003E0369">
          <w:rPr>
            <w:rStyle w:val="a3"/>
            <w:rFonts w:ascii="Arial" w:hAnsi="Arial" w:cs="Arial"/>
            <w:sz w:val="24"/>
            <w:szCs w:val="24"/>
          </w:rPr>
          <w:t>@</w:t>
        </w:r>
        <w:r w:rsidR="008B18E3" w:rsidRPr="003E0369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8B18E3" w:rsidRPr="003E0369">
          <w:rPr>
            <w:rStyle w:val="a3"/>
            <w:rFonts w:ascii="Arial" w:hAnsi="Arial" w:cs="Arial"/>
            <w:sz w:val="24"/>
            <w:szCs w:val="24"/>
          </w:rPr>
          <w:t>.</w:t>
        </w:r>
        <w:r w:rsidR="008B18E3" w:rsidRPr="003E036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672F3E" w:rsidRPr="001D6D2D" w:rsidRDefault="004A5BF9" w:rsidP="001D6D2D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12" w:history="1">
        <w:r w:rsidR="00672F3E" w:rsidRPr="001D6D2D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672F3E" w:rsidRPr="001D6D2D">
          <w:rPr>
            <w:rStyle w:val="a3"/>
            <w:rFonts w:ascii="Arial" w:hAnsi="Arial" w:cs="Arial"/>
            <w:sz w:val="24"/>
            <w:szCs w:val="24"/>
          </w:rPr>
          <w:t>@</w:t>
        </w:r>
        <w:r w:rsidR="00672F3E" w:rsidRPr="001D6D2D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672F3E" w:rsidRPr="001D6D2D">
          <w:rPr>
            <w:rStyle w:val="a3"/>
            <w:rFonts w:ascii="Arial" w:hAnsi="Arial" w:cs="Arial"/>
            <w:sz w:val="24"/>
            <w:szCs w:val="24"/>
          </w:rPr>
          <w:t>.</w:t>
        </w:r>
        <w:r w:rsidR="00672F3E" w:rsidRPr="001D6D2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672F3E" w:rsidRDefault="004A5BF9" w:rsidP="001D6D2D">
      <w:pPr>
        <w:jc w:val="right"/>
        <w:rPr>
          <w:rFonts w:ascii="Arial" w:hAnsi="Arial" w:cs="Arial"/>
          <w:sz w:val="24"/>
          <w:szCs w:val="24"/>
        </w:rPr>
      </w:pPr>
      <w:hyperlink r:id="rId13" w:history="1">
        <w:r w:rsidR="00672F3E" w:rsidRPr="001D6D2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672F3E" w:rsidRPr="001D6D2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672F3E" w:rsidRPr="001D6D2D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proofErr w:type="spellEnd"/>
        <w:r w:rsidR="00672F3E" w:rsidRPr="001D6D2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672F3E" w:rsidRPr="001D6D2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C64405" w:rsidRDefault="00C64405" w:rsidP="001D6D2D">
      <w:pPr>
        <w:jc w:val="right"/>
        <w:rPr>
          <w:rFonts w:ascii="Arial" w:hAnsi="Arial" w:cs="Arial"/>
          <w:sz w:val="24"/>
          <w:szCs w:val="24"/>
        </w:rPr>
      </w:pPr>
    </w:p>
    <w:sectPr w:rsidR="00C64405" w:rsidSect="00F83113">
      <w:headerReference w:type="default" r:id="rId14"/>
      <w:pgSz w:w="11906" w:h="16838"/>
      <w:pgMar w:top="851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BF" w:rsidRDefault="00B800BF" w:rsidP="00C84E37">
      <w:pPr>
        <w:spacing w:after="0" w:line="240" w:lineRule="auto"/>
      </w:pPr>
      <w:r>
        <w:separator/>
      </w:r>
    </w:p>
  </w:endnote>
  <w:endnote w:type="continuationSeparator" w:id="0">
    <w:p w:rsidR="00B800BF" w:rsidRDefault="00B800BF" w:rsidP="00C8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BF" w:rsidRDefault="00B800BF" w:rsidP="00C84E37">
      <w:pPr>
        <w:spacing w:after="0" w:line="240" w:lineRule="auto"/>
      </w:pPr>
      <w:r>
        <w:separator/>
      </w:r>
    </w:p>
  </w:footnote>
  <w:footnote w:type="continuationSeparator" w:id="0">
    <w:p w:rsidR="00B800BF" w:rsidRDefault="00B800BF" w:rsidP="00C8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3" w:rsidRDefault="004A5BF9">
    <w:pPr>
      <w:pStyle w:val="a4"/>
      <w:jc w:val="center"/>
    </w:pPr>
    <w:r>
      <w:fldChar w:fldCharType="begin"/>
    </w:r>
    <w:r w:rsidR="00D54A6D">
      <w:instrText xml:space="preserve"> PAGE   \* MERGEFORMAT </w:instrText>
    </w:r>
    <w:r>
      <w:fldChar w:fldCharType="separate"/>
    </w:r>
    <w:r w:rsidR="006D09CB">
      <w:rPr>
        <w:noProof/>
      </w:rPr>
      <w:t>3</w:t>
    </w:r>
    <w:r>
      <w:rPr>
        <w:noProof/>
      </w:rPr>
      <w:fldChar w:fldCharType="end"/>
    </w:r>
  </w:p>
  <w:p w:rsidR="00F83113" w:rsidRDefault="00F831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5511"/>
    <w:multiLevelType w:val="hybridMultilevel"/>
    <w:tmpl w:val="553EA7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7074CAC"/>
    <w:multiLevelType w:val="hybridMultilevel"/>
    <w:tmpl w:val="A16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40A2"/>
    <w:rsid w:val="000206D6"/>
    <w:rsid w:val="000316A2"/>
    <w:rsid w:val="00031973"/>
    <w:rsid w:val="00035F47"/>
    <w:rsid w:val="0005510D"/>
    <w:rsid w:val="000600F1"/>
    <w:rsid w:val="000604BD"/>
    <w:rsid w:val="00073CF8"/>
    <w:rsid w:val="000A157B"/>
    <w:rsid w:val="000A7329"/>
    <w:rsid w:val="000B3083"/>
    <w:rsid w:val="000B7464"/>
    <w:rsid w:val="000D118E"/>
    <w:rsid w:val="000E1E10"/>
    <w:rsid w:val="001173C6"/>
    <w:rsid w:val="00122EB4"/>
    <w:rsid w:val="00125A53"/>
    <w:rsid w:val="00134105"/>
    <w:rsid w:val="001343AE"/>
    <w:rsid w:val="001815E2"/>
    <w:rsid w:val="00183E80"/>
    <w:rsid w:val="001868EC"/>
    <w:rsid w:val="001B3459"/>
    <w:rsid w:val="001D6D2D"/>
    <w:rsid w:val="001E2CBD"/>
    <w:rsid w:val="001E60E3"/>
    <w:rsid w:val="00227B2F"/>
    <w:rsid w:val="002A0C78"/>
    <w:rsid w:val="002A70DD"/>
    <w:rsid w:val="002B49A2"/>
    <w:rsid w:val="002B7CB6"/>
    <w:rsid w:val="002D2931"/>
    <w:rsid w:val="002E2E3C"/>
    <w:rsid w:val="002E2EDF"/>
    <w:rsid w:val="002F054F"/>
    <w:rsid w:val="002F4D21"/>
    <w:rsid w:val="003146EF"/>
    <w:rsid w:val="00340DDB"/>
    <w:rsid w:val="003729C4"/>
    <w:rsid w:val="00373D8E"/>
    <w:rsid w:val="00377ED6"/>
    <w:rsid w:val="0039198C"/>
    <w:rsid w:val="003C4AEC"/>
    <w:rsid w:val="003D46F5"/>
    <w:rsid w:val="00434B90"/>
    <w:rsid w:val="00450CC8"/>
    <w:rsid w:val="0048015D"/>
    <w:rsid w:val="00487919"/>
    <w:rsid w:val="004927FB"/>
    <w:rsid w:val="004A417C"/>
    <w:rsid w:val="004A5BF9"/>
    <w:rsid w:val="004F0F39"/>
    <w:rsid w:val="00506D21"/>
    <w:rsid w:val="0054253B"/>
    <w:rsid w:val="005439F4"/>
    <w:rsid w:val="00561910"/>
    <w:rsid w:val="00572291"/>
    <w:rsid w:val="00586456"/>
    <w:rsid w:val="00591527"/>
    <w:rsid w:val="005947B4"/>
    <w:rsid w:val="00597060"/>
    <w:rsid w:val="005A1B36"/>
    <w:rsid w:val="005A5839"/>
    <w:rsid w:val="005D385A"/>
    <w:rsid w:val="005E654B"/>
    <w:rsid w:val="005F6F3D"/>
    <w:rsid w:val="005F7A15"/>
    <w:rsid w:val="00627896"/>
    <w:rsid w:val="00672F3E"/>
    <w:rsid w:val="0067578D"/>
    <w:rsid w:val="006A7050"/>
    <w:rsid w:val="006C6FAF"/>
    <w:rsid w:val="006D09CB"/>
    <w:rsid w:val="006D7E6D"/>
    <w:rsid w:val="006F04DD"/>
    <w:rsid w:val="007448F8"/>
    <w:rsid w:val="0078757C"/>
    <w:rsid w:val="007B38BC"/>
    <w:rsid w:val="007B49AC"/>
    <w:rsid w:val="007C562E"/>
    <w:rsid w:val="00800B3F"/>
    <w:rsid w:val="00805C5F"/>
    <w:rsid w:val="008063BE"/>
    <w:rsid w:val="008231F1"/>
    <w:rsid w:val="0084049F"/>
    <w:rsid w:val="00840E69"/>
    <w:rsid w:val="008806E3"/>
    <w:rsid w:val="00885A7B"/>
    <w:rsid w:val="008A3A26"/>
    <w:rsid w:val="008B0C04"/>
    <w:rsid w:val="008B18E3"/>
    <w:rsid w:val="008B39BE"/>
    <w:rsid w:val="008B467F"/>
    <w:rsid w:val="008C521F"/>
    <w:rsid w:val="008D3435"/>
    <w:rsid w:val="008E039E"/>
    <w:rsid w:val="00914DF7"/>
    <w:rsid w:val="00947D3D"/>
    <w:rsid w:val="00950713"/>
    <w:rsid w:val="00951EE5"/>
    <w:rsid w:val="00971972"/>
    <w:rsid w:val="00971C4C"/>
    <w:rsid w:val="009D1BB4"/>
    <w:rsid w:val="009D2A96"/>
    <w:rsid w:val="009D303A"/>
    <w:rsid w:val="009D5D17"/>
    <w:rsid w:val="009D7B1C"/>
    <w:rsid w:val="009E7D7C"/>
    <w:rsid w:val="009F1A67"/>
    <w:rsid w:val="00A020A0"/>
    <w:rsid w:val="00A07832"/>
    <w:rsid w:val="00A13604"/>
    <w:rsid w:val="00A14AD2"/>
    <w:rsid w:val="00A4065E"/>
    <w:rsid w:val="00A51DAF"/>
    <w:rsid w:val="00A571C9"/>
    <w:rsid w:val="00A740A2"/>
    <w:rsid w:val="00A81123"/>
    <w:rsid w:val="00A83366"/>
    <w:rsid w:val="00A8539A"/>
    <w:rsid w:val="00AA1837"/>
    <w:rsid w:val="00AA46DD"/>
    <w:rsid w:val="00AB45B0"/>
    <w:rsid w:val="00AC401A"/>
    <w:rsid w:val="00AD60A4"/>
    <w:rsid w:val="00AE1FBF"/>
    <w:rsid w:val="00AF0A7E"/>
    <w:rsid w:val="00B0505D"/>
    <w:rsid w:val="00B26633"/>
    <w:rsid w:val="00B35BE2"/>
    <w:rsid w:val="00B57905"/>
    <w:rsid w:val="00B707B2"/>
    <w:rsid w:val="00B70F2C"/>
    <w:rsid w:val="00B800BF"/>
    <w:rsid w:val="00BB359A"/>
    <w:rsid w:val="00BB37FC"/>
    <w:rsid w:val="00BB611A"/>
    <w:rsid w:val="00BE6AC6"/>
    <w:rsid w:val="00C257D4"/>
    <w:rsid w:val="00C339A4"/>
    <w:rsid w:val="00C36D18"/>
    <w:rsid w:val="00C5455B"/>
    <w:rsid w:val="00C64405"/>
    <w:rsid w:val="00C71935"/>
    <w:rsid w:val="00C84E37"/>
    <w:rsid w:val="00C853F4"/>
    <w:rsid w:val="00CC75C0"/>
    <w:rsid w:val="00CE7571"/>
    <w:rsid w:val="00D21A4B"/>
    <w:rsid w:val="00D540AD"/>
    <w:rsid w:val="00D54A6D"/>
    <w:rsid w:val="00D5756C"/>
    <w:rsid w:val="00D63A0A"/>
    <w:rsid w:val="00D6597B"/>
    <w:rsid w:val="00D7415C"/>
    <w:rsid w:val="00D91640"/>
    <w:rsid w:val="00D92F10"/>
    <w:rsid w:val="00DA570E"/>
    <w:rsid w:val="00DA5802"/>
    <w:rsid w:val="00DD6C97"/>
    <w:rsid w:val="00DE5B46"/>
    <w:rsid w:val="00E118AB"/>
    <w:rsid w:val="00E311AD"/>
    <w:rsid w:val="00E344F9"/>
    <w:rsid w:val="00E606E4"/>
    <w:rsid w:val="00E71BD4"/>
    <w:rsid w:val="00EA2518"/>
    <w:rsid w:val="00EB3896"/>
    <w:rsid w:val="00ED0C5B"/>
    <w:rsid w:val="00EE45AC"/>
    <w:rsid w:val="00F10906"/>
    <w:rsid w:val="00F44E68"/>
    <w:rsid w:val="00F4719E"/>
    <w:rsid w:val="00F5569F"/>
    <w:rsid w:val="00F83113"/>
    <w:rsid w:val="00F83E83"/>
    <w:rsid w:val="00FA38A1"/>
    <w:rsid w:val="00FD56E3"/>
    <w:rsid w:val="00FE6CBC"/>
    <w:rsid w:val="00FF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0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740A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A740A2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A740A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7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740A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A7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A740A2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rsid w:val="00591527"/>
    <w:rPr>
      <w:rFonts w:ascii="Helvetica" w:eastAsia="Arial Unicode MS" w:hAnsi="Helvetica"/>
      <w:color w:val="000000"/>
      <w:sz w:val="24"/>
    </w:rPr>
  </w:style>
  <w:style w:type="character" w:customStyle="1" w:styleId="apple-converted-space">
    <w:name w:val="apple-converted-space"/>
    <w:basedOn w:val="a0"/>
    <w:rsid w:val="008E039E"/>
  </w:style>
  <w:style w:type="paragraph" w:styleId="a8">
    <w:name w:val="footer"/>
    <w:basedOn w:val="a"/>
    <w:link w:val="a9"/>
    <w:rsid w:val="00C84E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4E37"/>
    <w:rPr>
      <w:rFonts w:eastAsia="Times New Roman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C71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6C97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0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740A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A740A2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A740A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7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740A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A7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A740A2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rsid w:val="00591527"/>
    <w:rPr>
      <w:rFonts w:ascii="Helvetica" w:eastAsia="Arial Unicode MS" w:hAnsi="Helvetica"/>
      <w:color w:val="000000"/>
      <w:sz w:val="24"/>
    </w:rPr>
  </w:style>
  <w:style w:type="character" w:customStyle="1" w:styleId="apple-converted-space">
    <w:name w:val="apple-converted-space"/>
    <w:basedOn w:val="a0"/>
    <w:rsid w:val="008E039E"/>
  </w:style>
  <w:style w:type="paragraph" w:styleId="a8">
    <w:name w:val="footer"/>
    <w:basedOn w:val="a"/>
    <w:link w:val="a9"/>
    <w:rsid w:val="00C84E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4E37"/>
    <w:rPr>
      <w:rFonts w:eastAsia="Times New Roman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C71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pz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pzt@opzt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opz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4984</CharactersWithSpaces>
  <SharedDoc>false</SharedDoc>
  <HLinks>
    <vt:vector size="18" baseType="variant">
      <vt:variant>
        <vt:i4>6619174</vt:i4>
      </vt:variant>
      <vt:variant>
        <vt:i4>6</vt:i4>
      </vt:variant>
      <vt:variant>
        <vt:i4>0</vt:i4>
      </vt:variant>
      <vt:variant>
        <vt:i4>5</vt:i4>
      </vt:variant>
      <vt:variant>
        <vt:lpwstr>http://www.opzt.ru/</vt:lpwstr>
      </vt:variant>
      <vt:variant>
        <vt:lpwstr/>
      </vt:variant>
      <vt:variant>
        <vt:i4>4259957</vt:i4>
      </vt:variant>
      <vt:variant>
        <vt:i4>3</vt:i4>
      </vt:variant>
      <vt:variant>
        <vt:i4>0</vt:i4>
      </vt:variant>
      <vt:variant>
        <vt:i4>5</vt:i4>
      </vt:variant>
      <vt:variant>
        <vt:lpwstr>mailto:opzt@opzt.ru</vt:lpwstr>
      </vt:variant>
      <vt:variant>
        <vt:lpwstr/>
      </vt:variant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mailto:press@opzt.ru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РукавишниковАА</cp:lastModifiedBy>
  <cp:revision>10</cp:revision>
  <cp:lastPrinted>2015-11-02T06:14:00Z</cp:lastPrinted>
  <dcterms:created xsi:type="dcterms:W3CDTF">2018-04-04T15:57:00Z</dcterms:created>
  <dcterms:modified xsi:type="dcterms:W3CDTF">2018-04-06T09:24:00Z</dcterms:modified>
</cp:coreProperties>
</file>